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4A91C7BE" w14:textId="633A0B6C" w:rsidR="00A160B2" w:rsidRDefault="00B84A87" w:rsidP="006C3150">
            <w:pPr>
              <w:pStyle w:val="Heading1"/>
              <w:outlineLvl w:val="0"/>
            </w:pPr>
            <w:r>
              <w:t>Pension Fund</w:t>
            </w:r>
            <w:r w:rsidR="00A160B2">
              <w:t xml:space="preserve"> Committee</w:t>
            </w:r>
          </w:p>
          <w:p w14:paraId="55A88F66" w14:textId="44D52632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0CE8AD0B" w:rsidR="00A160B2" w:rsidRDefault="0036548B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9 March 2022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65E17CD7" w:rsidR="00A160B2" w:rsidRDefault="00404FD1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Appointment </w:t>
            </w:r>
            <w:r w:rsidR="006D7CB4">
              <w:rPr>
                <w:rFonts w:cs="Arial"/>
              </w:rPr>
              <w:t>of Independent Advisors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3C5F91B" w14:textId="7D0852B4" w:rsidR="00A160B2" w:rsidRDefault="00E2344F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1EE6639E" w14:textId="3F4C78D1" w:rsidR="00EF3F74" w:rsidRPr="00E56213" w:rsidRDefault="00C54D7F" w:rsidP="00EF3F7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No </w:t>
            </w:r>
          </w:p>
          <w:p w14:paraId="4C873B59" w14:textId="20851B35" w:rsidR="00A160B2" w:rsidRDefault="00A160B2" w:rsidP="00E2344F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CD568AC" w14:textId="03A4A40A" w:rsidR="00A160B2" w:rsidRPr="008C7590" w:rsidRDefault="00180D94" w:rsidP="006C3150">
            <w:pPr>
              <w:pStyle w:val="Infotext"/>
              <w:rPr>
                <w:bCs/>
              </w:rPr>
            </w:pPr>
            <w:r w:rsidRPr="008C7590">
              <w:rPr>
                <w:bCs/>
              </w:rPr>
              <w:t>No</w:t>
            </w:r>
            <w:r w:rsidR="00A80313" w:rsidRPr="008C7590">
              <w:rPr>
                <w:bCs/>
              </w:rPr>
              <w:t>t applicable</w:t>
            </w:r>
          </w:p>
        </w:tc>
      </w:tr>
      <w:tr w:rsidR="00A160B2" w14:paraId="7C35C184" w14:textId="77777777" w:rsidTr="007855AE">
        <w:tc>
          <w:tcPr>
            <w:tcW w:w="3388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Pr="0006111E" w:rsidRDefault="00A160B2" w:rsidP="006C3150">
            <w:pPr>
              <w:pStyle w:val="Infotext"/>
            </w:pPr>
          </w:p>
          <w:p w14:paraId="4C232B02" w14:textId="4A7A3184" w:rsidR="00303D9F" w:rsidRPr="0006111E" w:rsidRDefault="008C7590" w:rsidP="006D7CB4">
            <w:pPr>
              <w:pStyle w:val="Infotext"/>
              <w:tabs>
                <w:tab w:val="center" w:pos="2352"/>
              </w:tabs>
            </w:pPr>
            <w:r>
              <w:t>N</w:t>
            </w:r>
            <w:r w:rsidR="0036548B">
              <w:t>one</w:t>
            </w:r>
            <w:r w:rsidR="006D7CB4">
              <w:t xml:space="preserve"> 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5D4B2E">
        <w:trPr>
          <w:tblHeader/>
        </w:trPr>
        <w:tc>
          <w:tcPr>
            <w:tcW w:w="8309" w:type="dxa"/>
            <w:tcBorders>
              <w:left w:val="nil"/>
              <w:right w:val="nil"/>
            </w:tcBorders>
          </w:tcPr>
          <w:p w14:paraId="41297458" w14:textId="5E405235" w:rsidR="00E2344F" w:rsidRPr="001E6E68" w:rsidRDefault="00AB31CC" w:rsidP="00E2344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 xml:space="preserve">This report sets out </w:t>
            </w:r>
            <w:r w:rsidR="005D4B2E">
              <w:rPr>
                <w:rFonts w:cs="Arial"/>
                <w:szCs w:val="24"/>
                <w:lang w:eastAsia="en-GB"/>
              </w:rPr>
              <w:t xml:space="preserve">outcome of the </w:t>
            </w:r>
            <w:r w:rsidR="009A582C">
              <w:rPr>
                <w:rFonts w:cs="Arial"/>
                <w:szCs w:val="24"/>
                <w:lang w:eastAsia="en-GB"/>
              </w:rPr>
              <w:t xml:space="preserve">procurement for </w:t>
            </w:r>
            <w:r>
              <w:rPr>
                <w:rFonts w:cs="Arial"/>
                <w:szCs w:val="24"/>
                <w:lang w:eastAsia="en-GB"/>
              </w:rPr>
              <w:t>Independent Advisors</w:t>
            </w:r>
            <w:r w:rsidR="009A582C">
              <w:rPr>
                <w:rFonts w:cs="Arial"/>
                <w:szCs w:val="24"/>
                <w:lang w:eastAsia="en-GB"/>
              </w:rPr>
              <w:t xml:space="preserve"> </w:t>
            </w:r>
            <w:r w:rsidR="005D4B2E">
              <w:rPr>
                <w:rFonts w:cs="Arial"/>
                <w:szCs w:val="24"/>
                <w:lang w:eastAsia="en-GB"/>
              </w:rPr>
              <w:t xml:space="preserve">and recommends the appointment of advisors for </w:t>
            </w:r>
            <w:r w:rsidR="009A582C">
              <w:rPr>
                <w:rFonts w:cs="Arial"/>
                <w:szCs w:val="24"/>
                <w:lang w:eastAsia="en-GB"/>
              </w:rPr>
              <w:t xml:space="preserve">as the current </w:t>
            </w:r>
            <w:r>
              <w:rPr>
                <w:rFonts w:cs="Arial"/>
                <w:szCs w:val="24"/>
                <w:lang w:eastAsia="en-GB"/>
              </w:rPr>
              <w:t xml:space="preserve">contracts are due to expire on 31 March 2022. </w:t>
            </w:r>
          </w:p>
          <w:p w14:paraId="2049D9D5" w14:textId="77777777" w:rsidR="00E2344F" w:rsidRPr="00E2344F" w:rsidRDefault="00E2344F" w:rsidP="00E2344F">
            <w:pPr>
              <w:pStyle w:val="Heading2"/>
              <w:rPr>
                <w:sz w:val="28"/>
                <w:szCs w:val="28"/>
              </w:rPr>
            </w:pPr>
            <w:r w:rsidRPr="00E2344F">
              <w:rPr>
                <w:sz w:val="28"/>
                <w:szCs w:val="28"/>
              </w:rPr>
              <w:t xml:space="preserve">Recommendations: </w:t>
            </w:r>
          </w:p>
          <w:p w14:paraId="3EF09D65" w14:textId="477BC10E" w:rsidR="005D4B2E" w:rsidRDefault="00E2344F" w:rsidP="005D4B2E">
            <w:pPr>
              <w:rPr>
                <w:szCs w:val="24"/>
              </w:rPr>
            </w:pPr>
            <w:r>
              <w:t xml:space="preserve">The Committee is recommended </w:t>
            </w:r>
            <w:r w:rsidR="00922249">
              <w:t xml:space="preserve">to </w:t>
            </w:r>
            <w:r w:rsidR="005D4B2E">
              <w:t>c</w:t>
            </w:r>
            <w:r w:rsidR="005D4B2E">
              <w:rPr>
                <w:szCs w:val="24"/>
              </w:rPr>
              <w:t xml:space="preserve">onfirm the appointment of two advisors </w:t>
            </w:r>
          </w:p>
          <w:p w14:paraId="412E4ED5" w14:textId="77777777" w:rsidR="005D4B2E" w:rsidRDefault="005D4B2E" w:rsidP="005D4B2E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Alderman Richard Romain</w:t>
            </w:r>
          </w:p>
          <w:p w14:paraId="4FA0DBEE" w14:textId="5C9E7362" w:rsidR="005D4B2E" w:rsidRDefault="005D4B2E" w:rsidP="005D4B2E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Colin Robertson (t/a Robertson Rumsey Limited)</w:t>
            </w:r>
          </w:p>
          <w:p w14:paraId="45BD5C6E" w14:textId="006FDB65" w:rsidR="005D4B2E" w:rsidRPr="005D4B2E" w:rsidRDefault="005D4B2E" w:rsidP="005D4B2E">
            <w:pPr>
              <w:rPr>
                <w:szCs w:val="24"/>
              </w:rPr>
            </w:pPr>
            <w:r>
              <w:rPr>
                <w:szCs w:val="24"/>
              </w:rPr>
              <w:t xml:space="preserve">to the LB Harrow Pension Fund for a period of 4 years </w:t>
            </w:r>
            <w:r w:rsidRPr="00D65954">
              <w:rPr>
                <w:rFonts w:cs="Arial"/>
                <w:bCs/>
              </w:rPr>
              <w:t xml:space="preserve">from </w:t>
            </w:r>
            <w:r>
              <w:rPr>
                <w:rFonts w:cs="Arial"/>
                <w:bCs/>
              </w:rPr>
              <w:t>1 April 2022</w:t>
            </w:r>
            <w:r w:rsidRPr="00D65954">
              <w:rPr>
                <w:rFonts w:cs="Arial"/>
                <w:bCs/>
              </w:rPr>
              <w:t xml:space="preserve"> to </w:t>
            </w:r>
            <w:r>
              <w:rPr>
                <w:rFonts w:cs="Arial"/>
                <w:bCs/>
              </w:rPr>
              <w:t>31 March 2026</w:t>
            </w:r>
            <w:r w:rsidRPr="00D65954">
              <w:rPr>
                <w:rFonts w:cs="Arial"/>
                <w:bCs/>
              </w:rPr>
              <w:t xml:space="preserve"> date with an option to extend for </w:t>
            </w:r>
            <w:r>
              <w:rPr>
                <w:rFonts w:cs="Arial"/>
                <w:bCs/>
              </w:rPr>
              <w:t>1 year</w:t>
            </w:r>
            <w:r w:rsidRPr="00D65954">
              <w:rPr>
                <w:rFonts w:cs="Arial"/>
                <w:bCs/>
              </w:rPr>
              <w:t xml:space="preserve"> up to date of </w:t>
            </w:r>
            <w:r>
              <w:rPr>
                <w:rFonts w:cs="Arial"/>
                <w:bCs/>
              </w:rPr>
              <w:t>31 March 2027.</w:t>
            </w:r>
          </w:p>
          <w:p w14:paraId="714CBDEE" w14:textId="54FBC743" w:rsidR="005A1171" w:rsidRDefault="005A1171" w:rsidP="005D4B2E">
            <w:pPr>
              <w:pStyle w:val="ListParagraph"/>
            </w:pPr>
          </w:p>
        </w:tc>
      </w:tr>
      <w:tr w:rsidR="005D4B2E" w14:paraId="226C414C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67E6F5B0" w14:textId="77777777" w:rsidR="005D4B2E" w:rsidRDefault="005D4B2E" w:rsidP="00E2344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</w:tbl>
    <w:p w14:paraId="1E42B602" w14:textId="77777777" w:rsidR="005D4B2E" w:rsidRDefault="005D4B2E" w:rsidP="00A160B2">
      <w:pPr>
        <w:pStyle w:val="Heading2"/>
      </w:pPr>
    </w:p>
    <w:p w14:paraId="53DC7DE2" w14:textId="59048A83" w:rsidR="002A2389" w:rsidRDefault="002A2389" w:rsidP="00A160B2">
      <w:pPr>
        <w:pStyle w:val="Heading2"/>
      </w:pPr>
      <w:r>
        <w:lastRenderedPageBreak/>
        <w:t>Section 2 – Report</w:t>
      </w:r>
    </w:p>
    <w:p w14:paraId="787543A6" w14:textId="77777777" w:rsidR="00145EB9" w:rsidRPr="00406A6A" w:rsidRDefault="00145EB9" w:rsidP="00145EB9">
      <w:pPr>
        <w:pStyle w:val="Heading2"/>
        <w:rPr>
          <w:rFonts w:ascii="Arial" w:hAnsi="Arial"/>
          <w:b/>
          <w:bCs w:val="0"/>
          <w:sz w:val="24"/>
          <w:szCs w:val="24"/>
        </w:rPr>
      </w:pPr>
      <w:r w:rsidRPr="00406A6A">
        <w:rPr>
          <w:rFonts w:ascii="Arial" w:hAnsi="Arial"/>
          <w:b/>
          <w:bCs w:val="0"/>
          <w:sz w:val="24"/>
          <w:szCs w:val="24"/>
        </w:rPr>
        <w:t xml:space="preserve">Introduction and Role of Investment Advisors </w:t>
      </w:r>
    </w:p>
    <w:p w14:paraId="0D25A69B" w14:textId="77777777" w:rsidR="00145EB9" w:rsidRPr="00E2344F" w:rsidRDefault="00145EB9" w:rsidP="00E2344F"/>
    <w:p w14:paraId="0D699718" w14:textId="675E98DD" w:rsidR="00145EB9" w:rsidRDefault="00217FC0" w:rsidP="008306D5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bookmarkStart w:id="0" w:name="_Hlk74148209"/>
      <w:r>
        <w:t>T</w:t>
      </w:r>
      <w:r w:rsidR="007808A7" w:rsidRPr="00A80313">
        <w:t xml:space="preserve">he </w:t>
      </w:r>
      <w:r w:rsidR="008306D5">
        <w:t xml:space="preserve">LGPS (Management and Investment of Funds) Regulations 2016 require </w:t>
      </w:r>
      <w:r>
        <w:t xml:space="preserve">that </w:t>
      </w:r>
      <w:r w:rsidR="00145EB9">
        <w:t>in setting its</w:t>
      </w:r>
      <w:r w:rsidR="008306D5">
        <w:t xml:space="preserve"> Investment Strategy Statement (ISS)</w:t>
      </w:r>
      <w:r>
        <w:t xml:space="preserve">, </w:t>
      </w:r>
      <w:r w:rsidR="00145EB9">
        <w:t>the Committee must take proper advice from suitable qualified practitioners. This advice is provided by the Fund’s Investment Consultants, Aon</w:t>
      </w:r>
      <w:r w:rsidR="00F54FA5">
        <w:t xml:space="preserve">, and the Actuary, Hymans Robertson. </w:t>
      </w:r>
      <w:r w:rsidR="00145EB9">
        <w:t xml:space="preserve"> </w:t>
      </w:r>
    </w:p>
    <w:p w14:paraId="002EE067" w14:textId="77777777" w:rsidR="00145EB9" w:rsidRDefault="00145EB9" w:rsidP="00145EB9">
      <w:pPr>
        <w:ind w:left="284"/>
        <w:jc w:val="both"/>
      </w:pPr>
    </w:p>
    <w:p w14:paraId="53D8E059" w14:textId="1456116F" w:rsidR="00145EB9" w:rsidRPr="00F54FA5" w:rsidRDefault="00145EB9" w:rsidP="00145EB9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>
        <w:t>In addition</w:t>
      </w:r>
      <w:r w:rsidR="00F54FA5">
        <w:t>,</w:t>
      </w:r>
      <w:r>
        <w:t xml:space="preserve"> in common with many LGPS Funds</w:t>
      </w:r>
      <w:r w:rsidR="00F54FA5">
        <w:t>, Harrow</w:t>
      </w:r>
      <w:r>
        <w:t xml:space="preserve"> has </w:t>
      </w:r>
      <w:r w:rsidRPr="00145EB9">
        <w:rPr>
          <w:szCs w:val="24"/>
        </w:rPr>
        <w:t xml:space="preserve">had two independent advisers in place </w:t>
      </w:r>
      <w:r>
        <w:rPr>
          <w:szCs w:val="24"/>
        </w:rPr>
        <w:t xml:space="preserve">since </w:t>
      </w:r>
      <w:r w:rsidR="00F54FA5">
        <w:rPr>
          <w:szCs w:val="24"/>
        </w:rPr>
        <w:t xml:space="preserve">2014, as well as </w:t>
      </w:r>
      <w:r w:rsidRPr="00145EB9">
        <w:rPr>
          <w:szCs w:val="24"/>
        </w:rPr>
        <w:t xml:space="preserve">a non-voting Co-opted </w:t>
      </w:r>
      <w:r w:rsidR="00F54FA5">
        <w:rPr>
          <w:szCs w:val="24"/>
        </w:rPr>
        <w:t xml:space="preserve">Committee </w:t>
      </w:r>
      <w:r w:rsidRPr="00145EB9">
        <w:rPr>
          <w:szCs w:val="24"/>
        </w:rPr>
        <w:t>member with no formal advisory or representative duties attached to the role.</w:t>
      </w:r>
    </w:p>
    <w:p w14:paraId="2FB48CFA" w14:textId="77777777" w:rsidR="00F54FA5" w:rsidRDefault="00F54FA5" w:rsidP="00F54FA5">
      <w:pPr>
        <w:pStyle w:val="ListParagraph"/>
      </w:pPr>
    </w:p>
    <w:p w14:paraId="7B58D6FE" w14:textId="77777777" w:rsidR="00A27839" w:rsidRDefault="00A27839" w:rsidP="00F641A8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 w:rsidRPr="00A27839">
        <w:rPr>
          <w:szCs w:val="24"/>
        </w:rPr>
        <w:t xml:space="preserve">At its last meeting on 24 November 2021 the Committee noted that the contracts of its </w:t>
      </w:r>
      <w:r w:rsidR="00145EB9" w:rsidRPr="00A27839">
        <w:rPr>
          <w:szCs w:val="24"/>
        </w:rPr>
        <w:t>current independent advisers</w:t>
      </w:r>
      <w:r>
        <w:rPr>
          <w:szCs w:val="24"/>
        </w:rPr>
        <w:t xml:space="preserve"> were due to expire on 31 March 2022, and approved arrangements to procure advisors from 1 April 2022. </w:t>
      </w:r>
    </w:p>
    <w:p w14:paraId="1A3CB753" w14:textId="77777777" w:rsidR="00A27839" w:rsidRDefault="00A27839" w:rsidP="00A27839">
      <w:pPr>
        <w:pStyle w:val="ListParagraph"/>
        <w:rPr>
          <w:szCs w:val="24"/>
        </w:rPr>
      </w:pPr>
    </w:p>
    <w:p w14:paraId="49C9F28A" w14:textId="7454EDAE" w:rsidR="00A27839" w:rsidRDefault="00A27839" w:rsidP="00F641A8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At that meeting the </w:t>
      </w:r>
      <w:r>
        <w:rPr>
          <w:rFonts w:cs="Arial"/>
        </w:rPr>
        <w:t>Committee expressed a view that it was happy with the performance of its two advisors, who bring advice from different perspectives, and expressed a strong preference for retaining the existing advisors if possible.</w:t>
      </w:r>
    </w:p>
    <w:p w14:paraId="636A75DE" w14:textId="77777777" w:rsidR="00A27839" w:rsidRDefault="00A27839" w:rsidP="00A27839">
      <w:pPr>
        <w:pStyle w:val="ListParagraph"/>
        <w:rPr>
          <w:szCs w:val="24"/>
        </w:rPr>
      </w:pPr>
    </w:p>
    <w:p w14:paraId="2D17B23F" w14:textId="4051EAB9" w:rsidR="00A27839" w:rsidRDefault="00A27839" w:rsidP="00F641A8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Further, taking into account the possibility of changes in the membership of the Committee following the forthcoming local elections, the Committee felt also that </w:t>
      </w:r>
      <w:r>
        <w:rPr>
          <w:rFonts w:cs="Arial"/>
        </w:rPr>
        <w:t xml:space="preserve">maintaining continuity of independent advisors with a knowledge of the background to the Fund’s current position would be advantageous. </w:t>
      </w:r>
      <w:r>
        <w:rPr>
          <w:szCs w:val="24"/>
        </w:rPr>
        <w:t xml:space="preserve"> </w:t>
      </w:r>
    </w:p>
    <w:p w14:paraId="011DF6E7" w14:textId="77777777" w:rsidR="00A27839" w:rsidRDefault="00A27839" w:rsidP="00A27839">
      <w:pPr>
        <w:pStyle w:val="ListParagraph"/>
        <w:rPr>
          <w:szCs w:val="24"/>
        </w:rPr>
      </w:pPr>
    </w:p>
    <w:p w14:paraId="66DC504B" w14:textId="604D98D1" w:rsidR="00A27839" w:rsidRPr="00267B0B" w:rsidRDefault="00A27839" w:rsidP="00A27839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 w:rsidRPr="00267B0B">
        <w:rPr>
          <w:szCs w:val="24"/>
        </w:rPr>
        <w:t>In the light of th</w:t>
      </w:r>
      <w:r w:rsidR="00267B0B">
        <w:rPr>
          <w:szCs w:val="24"/>
        </w:rPr>
        <w:t>e Committee’s</w:t>
      </w:r>
      <w:r w:rsidRPr="00267B0B">
        <w:rPr>
          <w:szCs w:val="24"/>
        </w:rPr>
        <w:t xml:space="preserve"> comments, officers ascertained that because the values of the contracts </w:t>
      </w:r>
      <w:r w:rsidR="00267B0B" w:rsidRPr="00267B0B">
        <w:rPr>
          <w:szCs w:val="24"/>
        </w:rPr>
        <w:t xml:space="preserve">fall below the threshold, it was possible to make a compliant direct award, reappointing the two existing advisors. </w:t>
      </w:r>
    </w:p>
    <w:p w14:paraId="1C673C06" w14:textId="77777777" w:rsidR="00F641A8" w:rsidRDefault="00F641A8" w:rsidP="00F641A8">
      <w:pPr>
        <w:pStyle w:val="ListParagraph"/>
        <w:rPr>
          <w:szCs w:val="24"/>
        </w:rPr>
      </w:pPr>
    </w:p>
    <w:p w14:paraId="48501F56" w14:textId="66FE8B29" w:rsidR="00406A6A" w:rsidRDefault="00267B0B" w:rsidP="00406A6A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 w:rsidRPr="00267B0B">
        <w:rPr>
          <w:szCs w:val="24"/>
        </w:rPr>
        <w:t xml:space="preserve">Therefore, the necessary waiver has been obtained under delegated authority to award contracts for a period of four years, from 1 April 2022 to 31 March 2026, with an option to extend for a further year.   </w:t>
      </w:r>
    </w:p>
    <w:p w14:paraId="4E2D91BD" w14:textId="77777777" w:rsidR="00267B0B" w:rsidRPr="00267B0B" w:rsidRDefault="00267B0B" w:rsidP="00267B0B">
      <w:pPr>
        <w:jc w:val="both"/>
        <w:rPr>
          <w:szCs w:val="24"/>
        </w:rPr>
      </w:pPr>
    </w:p>
    <w:p w14:paraId="7D48A59E" w14:textId="31699674" w:rsidR="00E05679" w:rsidRDefault="00406A6A" w:rsidP="00E05679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 w:rsidRPr="00267B0B">
        <w:rPr>
          <w:szCs w:val="24"/>
        </w:rPr>
        <w:t xml:space="preserve">The Committee is asked to confirm its </w:t>
      </w:r>
      <w:r w:rsidR="00267B0B" w:rsidRPr="00267B0B">
        <w:rPr>
          <w:szCs w:val="24"/>
        </w:rPr>
        <w:t xml:space="preserve">endorsement of this action. </w:t>
      </w:r>
    </w:p>
    <w:bookmarkEnd w:id="0"/>
    <w:p w14:paraId="3469E0D9" w14:textId="621B169D" w:rsidR="00213BE7" w:rsidRDefault="00213BE7" w:rsidP="00213BE7">
      <w:pPr>
        <w:pStyle w:val="Heading2"/>
      </w:pPr>
      <w:r w:rsidRPr="00A74022">
        <w:t>Legal Implications</w:t>
      </w:r>
    </w:p>
    <w:p w14:paraId="75D7E075" w14:textId="5E9FDB94" w:rsidR="00A80313" w:rsidRDefault="00E05679" w:rsidP="00A8031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80313">
        <w:rPr>
          <w:sz w:val="24"/>
          <w:szCs w:val="24"/>
        </w:rPr>
        <w:t xml:space="preserve">s indicated above, the Fund is required to </w:t>
      </w:r>
      <w:r>
        <w:rPr>
          <w:sz w:val="24"/>
          <w:szCs w:val="24"/>
        </w:rPr>
        <w:t xml:space="preserve">seek appropriate advice </w:t>
      </w:r>
      <w:r w:rsidR="00A80313">
        <w:rPr>
          <w:sz w:val="24"/>
          <w:szCs w:val="24"/>
        </w:rPr>
        <w:t>to comply with the LGPS (Management and Investment of Funds) Regulations 2016.</w:t>
      </w:r>
    </w:p>
    <w:p w14:paraId="35B7B135" w14:textId="77777777" w:rsidR="00267B0B" w:rsidRDefault="00267B0B" w:rsidP="00267B0B">
      <w:pPr>
        <w:pStyle w:val="ListParagraph"/>
        <w:ind w:left="584"/>
        <w:rPr>
          <w:sz w:val="24"/>
          <w:szCs w:val="24"/>
        </w:rPr>
      </w:pPr>
    </w:p>
    <w:p w14:paraId="18D7436A" w14:textId="74D21814" w:rsidR="00267B0B" w:rsidRPr="00267B0B" w:rsidRDefault="00267B0B" w:rsidP="00A8031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Cs/>
          <w:sz w:val="24"/>
          <w:szCs w:val="24"/>
        </w:rPr>
        <w:t>T</w:t>
      </w:r>
      <w:r w:rsidRPr="00267B0B">
        <w:rPr>
          <w:bCs/>
          <w:sz w:val="24"/>
          <w:szCs w:val="24"/>
        </w:rPr>
        <w:t>he value of th</w:t>
      </w:r>
      <w:r w:rsidR="00285849">
        <w:rPr>
          <w:bCs/>
          <w:sz w:val="24"/>
          <w:szCs w:val="24"/>
        </w:rPr>
        <w:t>e</w:t>
      </w:r>
      <w:r w:rsidRPr="00267B0B">
        <w:rPr>
          <w:bCs/>
          <w:sz w:val="24"/>
          <w:szCs w:val="24"/>
        </w:rPr>
        <w:t>s</w:t>
      </w:r>
      <w:r w:rsidR="00285849">
        <w:rPr>
          <w:bCs/>
          <w:sz w:val="24"/>
          <w:szCs w:val="24"/>
        </w:rPr>
        <w:t>e</w:t>
      </w:r>
      <w:r w:rsidRPr="00267B0B">
        <w:rPr>
          <w:bCs/>
          <w:sz w:val="24"/>
          <w:szCs w:val="24"/>
        </w:rPr>
        <w:t xml:space="preserve"> contracts </w:t>
      </w:r>
      <w:proofErr w:type="gramStart"/>
      <w:r w:rsidRPr="00267B0B">
        <w:rPr>
          <w:bCs/>
          <w:sz w:val="24"/>
          <w:szCs w:val="24"/>
        </w:rPr>
        <w:t>fall</w:t>
      </w:r>
      <w:proofErr w:type="gramEnd"/>
      <w:r w:rsidRPr="00267B0B">
        <w:rPr>
          <w:bCs/>
          <w:sz w:val="24"/>
          <w:szCs w:val="24"/>
        </w:rPr>
        <w:t xml:space="preserve"> below the procurement threshold for services therefore a full competition is not required in line with the Public Contract Regulations 2015 as amended</w:t>
      </w:r>
      <w:r>
        <w:rPr>
          <w:bCs/>
          <w:sz w:val="24"/>
          <w:szCs w:val="24"/>
        </w:rPr>
        <w:t>.</w:t>
      </w:r>
    </w:p>
    <w:p w14:paraId="44971E77" w14:textId="77777777" w:rsidR="00267B0B" w:rsidRPr="00267B0B" w:rsidRDefault="00267B0B" w:rsidP="00267B0B">
      <w:pPr>
        <w:pStyle w:val="ListParagraph"/>
        <w:rPr>
          <w:sz w:val="24"/>
          <w:szCs w:val="24"/>
        </w:rPr>
      </w:pPr>
    </w:p>
    <w:p w14:paraId="47F607D4" w14:textId="77777777" w:rsidR="00267B0B" w:rsidRPr="00267B0B" w:rsidRDefault="00267B0B" w:rsidP="00267B0B">
      <w:pPr>
        <w:pStyle w:val="ListParagraph"/>
        <w:ind w:left="584"/>
        <w:rPr>
          <w:sz w:val="24"/>
          <w:szCs w:val="24"/>
        </w:rPr>
      </w:pPr>
    </w:p>
    <w:p w14:paraId="41BB405D" w14:textId="77777777" w:rsidR="002A2389" w:rsidRDefault="002A2389" w:rsidP="003D2FFE">
      <w:pPr>
        <w:pStyle w:val="Heading2"/>
        <w:spacing w:after="240"/>
      </w:pPr>
      <w:r>
        <w:lastRenderedPageBreak/>
        <w:t>Financial Implications</w:t>
      </w:r>
    </w:p>
    <w:p w14:paraId="110B0902" w14:textId="36231489" w:rsidR="00180D94" w:rsidRPr="00F22AA0" w:rsidRDefault="00267B0B" w:rsidP="00180D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05679">
        <w:rPr>
          <w:sz w:val="24"/>
          <w:szCs w:val="24"/>
        </w:rPr>
        <w:t xml:space="preserve">he annual cost </w:t>
      </w:r>
      <w:r>
        <w:rPr>
          <w:sz w:val="24"/>
          <w:szCs w:val="24"/>
        </w:rPr>
        <w:t>is</w:t>
      </w:r>
      <w:r w:rsidR="00E05679">
        <w:rPr>
          <w:sz w:val="24"/>
          <w:szCs w:val="24"/>
        </w:rPr>
        <w:t xml:space="preserve"> £30,000</w:t>
      </w:r>
      <w:r w:rsidR="0090095D">
        <w:rPr>
          <w:sz w:val="24"/>
          <w:szCs w:val="24"/>
        </w:rPr>
        <w:t xml:space="preserve"> (£15,000 per annum for each advisor)</w:t>
      </w:r>
      <w:r w:rsidR="00E05679">
        <w:rPr>
          <w:sz w:val="24"/>
          <w:szCs w:val="24"/>
        </w:rPr>
        <w:t>. The cost is in line with the current budget and will be met entirely from the Pension Fund.</w:t>
      </w:r>
    </w:p>
    <w:p w14:paraId="2B95D393" w14:textId="165B0E37" w:rsidR="00180D94" w:rsidRDefault="00C32DAE" w:rsidP="00180D94">
      <w:pPr>
        <w:pStyle w:val="Heading2"/>
        <w:spacing w:after="240"/>
      </w:pPr>
      <w:r>
        <w:t>Risk Management Implications</w:t>
      </w:r>
    </w:p>
    <w:p w14:paraId="30F113F0" w14:textId="106A3E44" w:rsidR="00180D94" w:rsidRPr="00267B0B" w:rsidRDefault="00180D94" w:rsidP="00180D9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4"/>
          <w:lang w:eastAsia="en-GB"/>
        </w:rPr>
      </w:pPr>
      <w:r w:rsidRPr="00690F76">
        <w:t>The Pension Fund’s Risk Register is reviewed regularly by both th</w:t>
      </w:r>
      <w:r>
        <w:t>is</w:t>
      </w:r>
      <w:r w:rsidRPr="00690F76">
        <w:t xml:space="preserve"> Committee and by the Pension Board. </w:t>
      </w:r>
      <w:r>
        <w:t xml:space="preserve">The latest review </w:t>
      </w:r>
      <w:r w:rsidR="00267B0B">
        <w:t>will be considered elsewhere on the agenda for this meeting.</w:t>
      </w:r>
      <w:r w:rsidR="006D6B23">
        <w:t xml:space="preserve"> </w:t>
      </w:r>
    </w:p>
    <w:p w14:paraId="56E383E1" w14:textId="77777777" w:rsidR="00267B0B" w:rsidRPr="00267B0B" w:rsidRDefault="00267B0B" w:rsidP="00267B0B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63673B0F" w14:textId="017A2398" w:rsidR="00180D94" w:rsidRPr="00180D94" w:rsidRDefault="00180D94" w:rsidP="00180D9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4"/>
          <w:lang w:eastAsia="en-GB"/>
        </w:rPr>
      </w:pPr>
      <w:r w:rsidRPr="00690F76">
        <w:t>There are no specific risk management implications arising from this report</w:t>
      </w:r>
      <w:r>
        <w:t xml:space="preserve">. The level of risk to which its investments are exposed is a key component in </w:t>
      </w:r>
      <w:r w:rsidRPr="003F5AF9">
        <w:t>developing the Fund’s investment strategy</w:t>
      </w:r>
      <w:r w:rsidR="00E05679">
        <w:t>, and the independent advice supports the Committee in monitoring this risk.</w:t>
      </w:r>
    </w:p>
    <w:p w14:paraId="7F3D60FE" w14:textId="27532E63" w:rsidR="00180D94" w:rsidRPr="00180D94" w:rsidRDefault="00180D94" w:rsidP="00180D94">
      <w:pPr>
        <w:pStyle w:val="Heading2"/>
        <w:keepNext/>
        <w:spacing w:after="240"/>
        <w:rPr>
          <w:color w:val="000000"/>
          <w:szCs w:val="24"/>
          <w:lang w:eastAsia="en-GB"/>
        </w:rPr>
      </w:pPr>
      <w:r w:rsidRPr="004A2543">
        <w:t>Equalities implications</w:t>
      </w:r>
      <w:r>
        <w:t xml:space="preserve"> / Public Sector Equality Duty </w:t>
      </w:r>
    </w:p>
    <w:p w14:paraId="556E49AD" w14:textId="77777777" w:rsidR="00180D94" w:rsidRPr="00180D94" w:rsidRDefault="00FD31A0" w:rsidP="00FD31A0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4"/>
          <w:lang w:eastAsia="en-GB"/>
        </w:rPr>
      </w:pPr>
      <w:r w:rsidRPr="004A2543">
        <w:t xml:space="preserve">Was an Equality Impact Assessment carried out?  </w:t>
      </w:r>
      <w:r>
        <w:t>No</w:t>
      </w:r>
    </w:p>
    <w:p w14:paraId="79CE73A9" w14:textId="08D2A450" w:rsidR="00180D94" w:rsidRDefault="00180D94" w:rsidP="00180D94">
      <w:pPr>
        <w:autoSpaceDE w:val="0"/>
        <w:autoSpaceDN w:val="0"/>
        <w:adjustRightInd w:val="0"/>
        <w:ind w:left="426"/>
      </w:pPr>
      <w:r>
        <w:t>There are no direct equalities implications arising from this report.</w:t>
      </w:r>
    </w:p>
    <w:p w14:paraId="5779EA79" w14:textId="6A71C833" w:rsidR="00180D94" w:rsidRPr="00180D94" w:rsidRDefault="00180D94" w:rsidP="00180D94">
      <w:pPr>
        <w:pStyle w:val="Heading2"/>
        <w:spacing w:after="240"/>
        <w:rPr>
          <w:color w:val="000000"/>
          <w:szCs w:val="24"/>
          <w:lang w:eastAsia="en-GB"/>
        </w:rPr>
      </w:pPr>
      <w:r>
        <w:t xml:space="preserve">Council </w:t>
      </w:r>
      <w:r w:rsidRPr="00CD57D8">
        <w:t>Priorities</w:t>
      </w:r>
      <w:r w:rsidR="00FD31A0">
        <w:t xml:space="preserve"> </w:t>
      </w:r>
    </w:p>
    <w:p w14:paraId="0C2F27D8" w14:textId="7992A8F6" w:rsidR="00FD31A0" w:rsidRPr="004A2543" w:rsidRDefault="00180D94" w:rsidP="00FD31A0">
      <w:pPr>
        <w:numPr>
          <w:ilvl w:val="0"/>
          <w:numId w:val="16"/>
        </w:numPr>
        <w:autoSpaceDE w:val="0"/>
        <w:autoSpaceDN w:val="0"/>
        <w:adjustRightInd w:val="0"/>
        <w:ind w:left="426" w:hanging="426"/>
      </w:pPr>
      <w:r w:rsidRPr="00E05679">
        <w:rPr>
          <w:szCs w:val="24"/>
          <w:lang w:val="en-US"/>
        </w:rPr>
        <w:t>The performance of the Pension Fund directly affects the level of employer contribution which then, in turn, affects the resources available for the Council’s priorities</w:t>
      </w:r>
      <w:r w:rsidR="00F22AA0" w:rsidRPr="00E05679">
        <w:rPr>
          <w:szCs w:val="24"/>
          <w:lang w:val="en-US"/>
        </w:rPr>
        <w:t>.</w:t>
      </w:r>
      <w:r>
        <w:t xml:space="preserve">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676B79ED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170ABD">
        <w:rPr>
          <w:b/>
          <w:sz w:val="28"/>
        </w:rPr>
        <w:t>Dawn Calvert</w:t>
      </w:r>
    </w:p>
    <w:p w14:paraId="57640BD9" w14:textId="64851CBC" w:rsidR="00912904" w:rsidRDefault="00912904" w:rsidP="00912904">
      <w:r w:rsidRPr="00A66326">
        <w:t>Signed by the Chief Financial Officer</w:t>
      </w:r>
    </w:p>
    <w:p w14:paraId="5745A2E3" w14:textId="4721B726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170ABD">
        <w:rPr>
          <w:b/>
          <w:sz w:val="28"/>
        </w:rPr>
        <w:t>23/02/2022</w:t>
      </w:r>
    </w:p>
    <w:p w14:paraId="2586CC50" w14:textId="01316634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285849">
        <w:rPr>
          <w:b/>
          <w:sz w:val="28"/>
        </w:rPr>
        <w:t>Sharon Clarke</w:t>
      </w:r>
    </w:p>
    <w:p w14:paraId="3F58D77A" w14:textId="60ABC8E9" w:rsidR="00912904" w:rsidRPr="00A66326" w:rsidRDefault="00912904" w:rsidP="00912904">
      <w:r w:rsidRPr="00A66326">
        <w:t>Signed on behalf of the Monitoring Officer</w:t>
      </w:r>
    </w:p>
    <w:p w14:paraId="61F8C7E6" w14:textId="28FB003F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285849">
        <w:rPr>
          <w:b/>
          <w:sz w:val="28"/>
        </w:rPr>
        <w:t>24/02/2022</w:t>
      </w:r>
    </w:p>
    <w:p w14:paraId="2019A53D" w14:textId="15453D27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</w:t>
      </w:r>
      <w:r w:rsidR="00DB1C98">
        <w:rPr>
          <w:b/>
          <w:sz w:val="28"/>
        </w:rPr>
        <w:t xml:space="preserve"> </w:t>
      </w:r>
      <w:r w:rsidR="00285849">
        <w:rPr>
          <w:b/>
          <w:sz w:val="28"/>
        </w:rPr>
        <w:t>Charlie Stewart</w:t>
      </w:r>
    </w:p>
    <w:p w14:paraId="12E4D11B" w14:textId="77263959" w:rsidR="00912904" w:rsidRPr="00A66326" w:rsidRDefault="00365D29" w:rsidP="00912904">
      <w:r>
        <w:t>Signed</w:t>
      </w:r>
      <w:r w:rsidR="00912904" w:rsidRPr="00A66326">
        <w:t xml:space="preserve"> </w:t>
      </w:r>
      <w:r w:rsidR="00267B0B">
        <w:t xml:space="preserve">by / </w:t>
      </w:r>
      <w:r w:rsidR="00DA45BC">
        <w:t xml:space="preserve">on behalf of </w:t>
      </w:r>
      <w:r w:rsidR="00912904" w:rsidRPr="00A66326">
        <w:t>the Corporate Director</w:t>
      </w:r>
    </w:p>
    <w:p w14:paraId="21482980" w14:textId="6BF735C8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285849">
        <w:rPr>
          <w:b/>
          <w:sz w:val="28"/>
        </w:rPr>
        <w:t>24/02/2022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lastRenderedPageBreak/>
        <w:t>Mandatory Checks</w:t>
      </w:r>
    </w:p>
    <w:p w14:paraId="71FBC41D" w14:textId="14DE02B4" w:rsidR="00912904" w:rsidRPr="003313EA" w:rsidRDefault="00912904" w:rsidP="00180D94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 xml:space="preserve">Ward Councillors notified:  </w:t>
      </w:r>
      <w:r w:rsidR="00180D94">
        <w:rPr>
          <w:sz w:val="28"/>
        </w:rPr>
        <w:t>Not applicable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5043159A" w14:textId="1C2BD613" w:rsidR="00180D94" w:rsidRDefault="002A2389" w:rsidP="00180D94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180D94" w:rsidRPr="00A175BD">
        <w:rPr>
          <w:sz w:val="24"/>
          <w:szCs w:val="24"/>
        </w:rPr>
        <w:t xml:space="preserve">Jeremy Randall – Interim Pensions </w:t>
      </w:r>
      <w:r w:rsidR="00180D94">
        <w:rPr>
          <w:sz w:val="24"/>
          <w:szCs w:val="24"/>
        </w:rPr>
        <w:t>Manager</w:t>
      </w:r>
    </w:p>
    <w:p w14:paraId="38A0A7A9" w14:textId="77777777" w:rsidR="00180D94" w:rsidRDefault="00180D94" w:rsidP="00180D94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11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064CDBC2" w14:textId="77777777" w:rsidR="00180D94" w:rsidRPr="00DD6270" w:rsidRDefault="00180D94" w:rsidP="00180D94">
      <w:pPr>
        <w:pStyle w:val="Infotext"/>
      </w:pPr>
      <w:r w:rsidRPr="00DD6270">
        <w:rPr>
          <w:rStyle w:val="Hyperlink"/>
          <w:color w:val="auto"/>
          <w:sz w:val="24"/>
          <w:szCs w:val="24"/>
          <w:u w:val="none"/>
        </w:rPr>
        <w:t>Telephone 020 8</w:t>
      </w:r>
      <w:r>
        <w:rPr>
          <w:rStyle w:val="Hyperlink"/>
          <w:color w:val="auto"/>
          <w:sz w:val="24"/>
          <w:szCs w:val="24"/>
          <w:u w:val="none"/>
        </w:rPr>
        <w:t>736 6552</w:t>
      </w:r>
    </w:p>
    <w:p w14:paraId="0AC2AC5C" w14:textId="618C4BE2" w:rsidR="00912904" w:rsidRDefault="002A2389" w:rsidP="00180D9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180D94">
        <w:t xml:space="preserve">None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CF7D" w14:textId="77777777" w:rsidR="006C4D4C" w:rsidRDefault="006C4D4C">
      <w:r>
        <w:separator/>
      </w:r>
    </w:p>
  </w:endnote>
  <w:endnote w:type="continuationSeparator" w:id="0">
    <w:p w14:paraId="462D3004" w14:textId="77777777" w:rsidR="006C4D4C" w:rsidRDefault="006C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CF1D" w14:textId="77777777" w:rsidR="006C4D4C" w:rsidRDefault="006C4D4C">
      <w:r>
        <w:separator/>
      </w:r>
    </w:p>
  </w:footnote>
  <w:footnote w:type="continuationSeparator" w:id="0">
    <w:p w14:paraId="045BBD08" w14:textId="77777777" w:rsidR="006C4D4C" w:rsidRDefault="006C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AFF"/>
    <w:multiLevelType w:val="hybridMultilevel"/>
    <w:tmpl w:val="315E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ABC"/>
    <w:multiLevelType w:val="hybridMultilevel"/>
    <w:tmpl w:val="02DC182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EB7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1789"/>
    <w:multiLevelType w:val="hybridMultilevel"/>
    <w:tmpl w:val="228CA9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FC54C0"/>
    <w:multiLevelType w:val="hybridMultilevel"/>
    <w:tmpl w:val="D8DE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1381"/>
    <w:multiLevelType w:val="hybridMultilevel"/>
    <w:tmpl w:val="EA2A0F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D24BF4"/>
    <w:multiLevelType w:val="hybridMultilevel"/>
    <w:tmpl w:val="4F1E8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02DBA"/>
    <w:multiLevelType w:val="hybridMultilevel"/>
    <w:tmpl w:val="FEA81CAA"/>
    <w:lvl w:ilvl="0" w:tplc="EF9AA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0971"/>
    <w:multiLevelType w:val="hybridMultilevel"/>
    <w:tmpl w:val="A98609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4E38"/>
    <w:multiLevelType w:val="hybridMultilevel"/>
    <w:tmpl w:val="F3025F5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684F"/>
    <w:multiLevelType w:val="hybridMultilevel"/>
    <w:tmpl w:val="7CE27692"/>
    <w:lvl w:ilvl="0" w:tplc="348A0724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85A"/>
    <w:multiLevelType w:val="hybridMultilevel"/>
    <w:tmpl w:val="4B0EC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25"/>
  </w:num>
  <w:num w:numId="12">
    <w:abstractNumId w:val="18"/>
  </w:num>
  <w:num w:numId="13">
    <w:abstractNumId w:val="3"/>
  </w:num>
  <w:num w:numId="14">
    <w:abstractNumId w:val="7"/>
  </w:num>
  <w:num w:numId="15">
    <w:abstractNumId w:val="15"/>
  </w:num>
  <w:num w:numId="16">
    <w:abstractNumId w:val="5"/>
  </w:num>
  <w:num w:numId="17">
    <w:abstractNumId w:val="9"/>
  </w:num>
  <w:num w:numId="18">
    <w:abstractNumId w:val="23"/>
  </w:num>
  <w:num w:numId="19">
    <w:abstractNumId w:val="0"/>
  </w:num>
  <w:num w:numId="20">
    <w:abstractNumId w:val="20"/>
  </w:num>
  <w:num w:numId="21">
    <w:abstractNumId w:val="24"/>
  </w:num>
  <w:num w:numId="22">
    <w:abstractNumId w:val="8"/>
  </w:num>
  <w:num w:numId="23">
    <w:abstractNumId w:val="10"/>
  </w:num>
  <w:num w:numId="24">
    <w:abstractNumId w:val="17"/>
  </w:num>
  <w:num w:numId="25">
    <w:abstractNumId w:val="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13E4E"/>
    <w:rsid w:val="00014FAE"/>
    <w:rsid w:val="00023F4C"/>
    <w:rsid w:val="00057F10"/>
    <w:rsid w:val="0006111E"/>
    <w:rsid w:val="000633A2"/>
    <w:rsid w:val="00071EB4"/>
    <w:rsid w:val="00077298"/>
    <w:rsid w:val="000967C9"/>
    <w:rsid w:val="000A58A1"/>
    <w:rsid w:val="000A6659"/>
    <w:rsid w:val="000B0E6F"/>
    <w:rsid w:val="000B508F"/>
    <w:rsid w:val="000B6DBB"/>
    <w:rsid w:val="000D2BF2"/>
    <w:rsid w:val="000D5870"/>
    <w:rsid w:val="000F65C0"/>
    <w:rsid w:val="00134D55"/>
    <w:rsid w:val="00145EB9"/>
    <w:rsid w:val="00170ABD"/>
    <w:rsid w:val="00180D94"/>
    <w:rsid w:val="001939BA"/>
    <w:rsid w:val="001A6EB0"/>
    <w:rsid w:val="001B441D"/>
    <w:rsid w:val="001C5225"/>
    <w:rsid w:val="001E0219"/>
    <w:rsid w:val="001E604B"/>
    <w:rsid w:val="00213BE7"/>
    <w:rsid w:val="00217FC0"/>
    <w:rsid w:val="00231A1D"/>
    <w:rsid w:val="00244120"/>
    <w:rsid w:val="00267B0B"/>
    <w:rsid w:val="00285849"/>
    <w:rsid w:val="00293F9F"/>
    <w:rsid w:val="002A2389"/>
    <w:rsid w:val="002B62F0"/>
    <w:rsid w:val="002C08E2"/>
    <w:rsid w:val="002C1794"/>
    <w:rsid w:val="002D2FC5"/>
    <w:rsid w:val="002E6637"/>
    <w:rsid w:val="002E77E3"/>
    <w:rsid w:val="002F0E81"/>
    <w:rsid w:val="00303D9F"/>
    <w:rsid w:val="00332947"/>
    <w:rsid w:val="00333EB4"/>
    <w:rsid w:val="00345915"/>
    <w:rsid w:val="0036548B"/>
    <w:rsid w:val="00365C6B"/>
    <w:rsid w:val="00365D29"/>
    <w:rsid w:val="00374F22"/>
    <w:rsid w:val="00385716"/>
    <w:rsid w:val="003D2FFE"/>
    <w:rsid w:val="003D5F0A"/>
    <w:rsid w:val="003D73DF"/>
    <w:rsid w:val="003E3902"/>
    <w:rsid w:val="00400032"/>
    <w:rsid w:val="00404FD1"/>
    <w:rsid w:val="00406A6A"/>
    <w:rsid w:val="0042394B"/>
    <w:rsid w:val="00470635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34BAA"/>
    <w:rsid w:val="00543F46"/>
    <w:rsid w:val="00597314"/>
    <w:rsid w:val="005A1171"/>
    <w:rsid w:val="005A61AF"/>
    <w:rsid w:val="005D0886"/>
    <w:rsid w:val="005D4B2E"/>
    <w:rsid w:val="005E384D"/>
    <w:rsid w:val="005E3DFB"/>
    <w:rsid w:val="005F09D3"/>
    <w:rsid w:val="005F2181"/>
    <w:rsid w:val="005F61BC"/>
    <w:rsid w:val="005F724B"/>
    <w:rsid w:val="00606705"/>
    <w:rsid w:val="006202CB"/>
    <w:rsid w:val="00625DFF"/>
    <w:rsid w:val="0063072B"/>
    <w:rsid w:val="00660EB3"/>
    <w:rsid w:val="00662891"/>
    <w:rsid w:val="006628B7"/>
    <w:rsid w:val="00675FCB"/>
    <w:rsid w:val="006A0B87"/>
    <w:rsid w:val="006B3942"/>
    <w:rsid w:val="006B7DC6"/>
    <w:rsid w:val="006C3914"/>
    <w:rsid w:val="006C4D4C"/>
    <w:rsid w:val="006C6CAC"/>
    <w:rsid w:val="006D3648"/>
    <w:rsid w:val="006D6B23"/>
    <w:rsid w:val="006D7CB4"/>
    <w:rsid w:val="006F6481"/>
    <w:rsid w:val="006F6D50"/>
    <w:rsid w:val="00717E8A"/>
    <w:rsid w:val="0074184E"/>
    <w:rsid w:val="00743829"/>
    <w:rsid w:val="00755F8D"/>
    <w:rsid w:val="007808A7"/>
    <w:rsid w:val="007855AE"/>
    <w:rsid w:val="00796503"/>
    <w:rsid w:val="007B0CB6"/>
    <w:rsid w:val="007B4F2C"/>
    <w:rsid w:val="007D2BDA"/>
    <w:rsid w:val="007D56C8"/>
    <w:rsid w:val="007E3934"/>
    <w:rsid w:val="007E7303"/>
    <w:rsid w:val="008212A0"/>
    <w:rsid w:val="008306D5"/>
    <w:rsid w:val="00837F53"/>
    <w:rsid w:val="00862DDC"/>
    <w:rsid w:val="008C7590"/>
    <w:rsid w:val="008D1750"/>
    <w:rsid w:val="008D7800"/>
    <w:rsid w:val="008E2910"/>
    <w:rsid w:val="008E4913"/>
    <w:rsid w:val="00900464"/>
    <w:rsid w:val="0090095D"/>
    <w:rsid w:val="0090100E"/>
    <w:rsid w:val="00912904"/>
    <w:rsid w:val="00922249"/>
    <w:rsid w:val="00923BAE"/>
    <w:rsid w:val="00927177"/>
    <w:rsid w:val="0093767E"/>
    <w:rsid w:val="00972A02"/>
    <w:rsid w:val="0099517C"/>
    <w:rsid w:val="009A0937"/>
    <w:rsid w:val="009A582C"/>
    <w:rsid w:val="009B2ECD"/>
    <w:rsid w:val="009B7914"/>
    <w:rsid w:val="009F430B"/>
    <w:rsid w:val="00A160B2"/>
    <w:rsid w:val="00A16271"/>
    <w:rsid w:val="00A27839"/>
    <w:rsid w:val="00A566E7"/>
    <w:rsid w:val="00A630BF"/>
    <w:rsid w:val="00A73B25"/>
    <w:rsid w:val="00A74022"/>
    <w:rsid w:val="00A80313"/>
    <w:rsid w:val="00A940D3"/>
    <w:rsid w:val="00A96FCA"/>
    <w:rsid w:val="00AA4BE8"/>
    <w:rsid w:val="00AB1EE3"/>
    <w:rsid w:val="00AB31CC"/>
    <w:rsid w:val="00AC0AAB"/>
    <w:rsid w:val="00AC7BA9"/>
    <w:rsid w:val="00B0425E"/>
    <w:rsid w:val="00B12F96"/>
    <w:rsid w:val="00B26886"/>
    <w:rsid w:val="00B84A87"/>
    <w:rsid w:val="00B87568"/>
    <w:rsid w:val="00B900E2"/>
    <w:rsid w:val="00B9118E"/>
    <w:rsid w:val="00BD6115"/>
    <w:rsid w:val="00BD684A"/>
    <w:rsid w:val="00C05E9C"/>
    <w:rsid w:val="00C32DAE"/>
    <w:rsid w:val="00C40E24"/>
    <w:rsid w:val="00C54D7F"/>
    <w:rsid w:val="00C61B80"/>
    <w:rsid w:val="00C92D9A"/>
    <w:rsid w:val="00C96EF5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A45BC"/>
    <w:rsid w:val="00DB0791"/>
    <w:rsid w:val="00DB1C98"/>
    <w:rsid w:val="00DB2AF8"/>
    <w:rsid w:val="00DC506F"/>
    <w:rsid w:val="00DD4251"/>
    <w:rsid w:val="00E02B50"/>
    <w:rsid w:val="00E03F11"/>
    <w:rsid w:val="00E05679"/>
    <w:rsid w:val="00E06DC8"/>
    <w:rsid w:val="00E220B5"/>
    <w:rsid w:val="00E2344F"/>
    <w:rsid w:val="00E33D93"/>
    <w:rsid w:val="00E609EF"/>
    <w:rsid w:val="00E80A8A"/>
    <w:rsid w:val="00E8111D"/>
    <w:rsid w:val="00E8515B"/>
    <w:rsid w:val="00E90AFF"/>
    <w:rsid w:val="00EA0AE0"/>
    <w:rsid w:val="00EC70CD"/>
    <w:rsid w:val="00EF2F91"/>
    <w:rsid w:val="00EF3F74"/>
    <w:rsid w:val="00F22AA0"/>
    <w:rsid w:val="00F33EE3"/>
    <w:rsid w:val="00F4213B"/>
    <w:rsid w:val="00F54FA5"/>
    <w:rsid w:val="00F641A8"/>
    <w:rsid w:val="00F806B8"/>
    <w:rsid w:val="00F849ED"/>
    <w:rsid w:val="00F92398"/>
    <w:rsid w:val="00FB1675"/>
    <w:rsid w:val="00FD31A0"/>
    <w:rsid w:val="00FF2B1A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CharCharCharCharCharCharCharChar0">
    <w:name w:val="Char Char Char Char Char Char Char Char"/>
    <w:basedOn w:val="Normal"/>
    <w:rsid w:val="00406A6A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emy.randall@harrow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31CF7-16AC-42E0-8132-B74BA1CC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7</cp:revision>
  <cp:lastPrinted>2007-07-12T09:53:00Z</cp:lastPrinted>
  <dcterms:created xsi:type="dcterms:W3CDTF">2022-02-23T14:50:00Z</dcterms:created>
  <dcterms:modified xsi:type="dcterms:W3CDTF">2022-02-24T11:20:00Z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